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95" w:rsidRPr="00B209AA" w:rsidRDefault="004E62D2">
      <w:pPr>
        <w:rPr>
          <w:rFonts w:asciiTheme="majorHAnsi" w:hAnsiTheme="majorHAnsi"/>
          <w:b/>
          <w:sz w:val="30"/>
        </w:rPr>
      </w:pPr>
      <w:r w:rsidRPr="00B209AA">
        <w:rPr>
          <w:rFonts w:asciiTheme="majorHAnsi" w:hAnsiTheme="majorHAnsi"/>
          <w:b/>
          <w:noProof/>
          <w:sz w:val="28"/>
          <w:lang w:eastAsia="fr-FR"/>
        </w:rPr>
        <w:drawing>
          <wp:anchor distT="0" distB="0" distL="0" distR="0" simplePos="0" relativeHeight="251658240" behindDoc="0" locked="0" layoutInCell="1" allowOverlap="1">
            <wp:simplePos x="0" y="0"/>
            <wp:positionH relativeFrom="column">
              <wp:posOffset>0</wp:posOffset>
            </wp:positionH>
            <wp:positionV relativeFrom="paragraph">
              <wp:posOffset>-457200</wp:posOffset>
            </wp:positionV>
            <wp:extent cx="787400" cy="806450"/>
            <wp:effectExtent l="25400" t="0" r="0" b="0"/>
            <wp:wrapTight wrapText="bothSides">
              <wp:wrapPolygon edited="0">
                <wp:start x="-697" y="0"/>
                <wp:lineTo x="-697" y="21090"/>
                <wp:lineTo x="21600" y="21090"/>
                <wp:lineTo x="21600" y="0"/>
                <wp:lineTo x="-69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787400" cy="806450"/>
                    </a:xfrm>
                    <a:prstGeom prst="rect">
                      <a:avLst/>
                    </a:prstGeom>
                    <a:solidFill>
                      <a:srgbClr val="FFFFFF"/>
                    </a:solidFill>
                    <a:ln w="9525">
                      <a:noFill/>
                      <a:miter lim="800000"/>
                      <a:headEnd/>
                      <a:tailEnd/>
                    </a:ln>
                  </pic:spPr>
                </pic:pic>
              </a:graphicData>
            </a:graphic>
          </wp:anchor>
        </w:drawing>
      </w:r>
      <w:r w:rsidR="00B209AA">
        <w:rPr>
          <w:rFonts w:asciiTheme="majorHAnsi" w:hAnsiTheme="majorHAnsi"/>
          <w:b/>
          <w:sz w:val="28"/>
        </w:rPr>
        <w:t xml:space="preserve">   </w:t>
      </w:r>
      <w:r w:rsidRPr="00B209AA">
        <w:rPr>
          <w:rFonts w:asciiTheme="majorHAnsi" w:hAnsiTheme="majorHAnsi"/>
          <w:b/>
          <w:sz w:val="30"/>
        </w:rPr>
        <w:t>1</w:t>
      </w:r>
      <w:r w:rsidR="00FE2095" w:rsidRPr="00B209AA">
        <w:rPr>
          <w:rFonts w:asciiTheme="majorHAnsi" w:hAnsiTheme="majorHAnsi"/>
          <w:b/>
          <w:sz w:val="30"/>
        </w:rPr>
        <w:t>967-2017 : 50 ans d’occupation ça suffit !</w:t>
      </w:r>
    </w:p>
    <w:p w:rsidR="00FE2095" w:rsidRPr="00FE2095" w:rsidRDefault="00FE2095">
      <w:pPr>
        <w:rPr>
          <w:rFonts w:asciiTheme="majorHAnsi" w:hAnsiTheme="majorHAnsi"/>
        </w:rPr>
      </w:pPr>
    </w:p>
    <w:p w:rsidR="00FE2095" w:rsidRDefault="00FE2095" w:rsidP="00955F40">
      <w:pPr>
        <w:jc w:val="both"/>
        <w:rPr>
          <w:rFonts w:asciiTheme="majorHAnsi" w:hAnsiTheme="majorHAnsi"/>
          <w:sz w:val="22"/>
        </w:rPr>
      </w:pPr>
      <w:r w:rsidRPr="00FE2095">
        <w:rPr>
          <w:rFonts w:asciiTheme="majorHAnsi" w:hAnsiTheme="majorHAnsi"/>
          <w:sz w:val="22"/>
        </w:rPr>
        <w:t>Le 5 juin 67, Israël déclenchait la « guerre des 6 jours »</w:t>
      </w:r>
      <w:r>
        <w:rPr>
          <w:rFonts w:asciiTheme="majorHAnsi" w:hAnsiTheme="majorHAnsi"/>
          <w:sz w:val="22"/>
        </w:rPr>
        <w:t xml:space="preserve"> qui allait aboutir à l’occupation de toute la Palestine historique, du Golan syrien et du Sinaï (évacué après l’accord israélo-égyptien de Camp David).</w:t>
      </w:r>
    </w:p>
    <w:p w:rsidR="00052074" w:rsidRPr="008D0FB7" w:rsidRDefault="00052074" w:rsidP="00955F40">
      <w:pPr>
        <w:jc w:val="both"/>
        <w:rPr>
          <w:rFonts w:asciiTheme="majorHAnsi" w:hAnsiTheme="majorHAnsi"/>
          <w:sz w:val="16"/>
        </w:rPr>
      </w:pPr>
      <w:r w:rsidRPr="008D0FB7">
        <w:rPr>
          <w:rFonts w:asciiTheme="majorHAnsi" w:hAnsiTheme="majorHAnsi"/>
          <w:sz w:val="16"/>
        </w:rPr>
        <w:t>.</w:t>
      </w:r>
    </w:p>
    <w:p w:rsidR="00215537" w:rsidRDefault="00FE2095" w:rsidP="00955F40">
      <w:pPr>
        <w:jc w:val="both"/>
        <w:rPr>
          <w:rFonts w:asciiTheme="majorHAnsi" w:hAnsiTheme="majorHAnsi"/>
          <w:sz w:val="22"/>
        </w:rPr>
      </w:pPr>
      <w:r>
        <w:rPr>
          <w:rFonts w:asciiTheme="majorHAnsi" w:hAnsiTheme="majorHAnsi"/>
          <w:sz w:val="22"/>
        </w:rPr>
        <w:t>Moins de 11 ans s’étaient écoulés depuis la participation empressée d’Israël  à la calamiteuse expédition coloniale franco-britannique de Suez, marquée déjà  par un premier massacre à Gaza.</w:t>
      </w:r>
    </w:p>
    <w:p w:rsidR="00215537" w:rsidRPr="008D0FB7" w:rsidRDefault="008D0FB7" w:rsidP="00955F40">
      <w:pPr>
        <w:jc w:val="both"/>
        <w:rPr>
          <w:rFonts w:asciiTheme="majorHAnsi" w:hAnsiTheme="majorHAnsi"/>
          <w:sz w:val="16"/>
        </w:rPr>
      </w:pPr>
      <w:r w:rsidRPr="008D0FB7">
        <w:rPr>
          <w:rFonts w:asciiTheme="majorHAnsi" w:hAnsiTheme="majorHAnsi"/>
          <w:sz w:val="16"/>
        </w:rPr>
        <w:t>.</w:t>
      </w:r>
    </w:p>
    <w:p w:rsidR="00C354AD" w:rsidRDefault="00215537" w:rsidP="00955F40">
      <w:pPr>
        <w:jc w:val="both"/>
        <w:rPr>
          <w:rFonts w:asciiTheme="majorHAnsi" w:hAnsiTheme="majorHAnsi"/>
          <w:sz w:val="22"/>
        </w:rPr>
      </w:pPr>
      <w:r>
        <w:rPr>
          <w:rFonts w:asciiTheme="majorHAnsi" w:hAnsiTheme="majorHAnsi"/>
          <w:sz w:val="22"/>
        </w:rPr>
        <w:t>50 années d’occ</w:t>
      </w:r>
      <w:r w:rsidR="00C354AD">
        <w:rPr>
          <w:rFonts w:asciiTheme="majorHAnsi" w:hAnsiTheme="majorHAnsi"/>
          <w:sz w:val="22"/>
        </w:rPr>
        <w:t>upation ont profondément bouleversé la situation et impacté gravement la société palestinienne</w:t>
      </w:r>
      <w:r w:rsidR="004C6DB6">
        <w:rPr>
          <w:rFonts w:asciiTheme="majorHAnsi" w:hAnsiTheme="majorHAnsi"/>
          <w:sz w:val="22"/>
        </w:rPr>
        <w:t>,</w:t>
      </w:r>
      <w:r w:rsidR="00AF3B54">
        <w:rPr>
          <w:rFonts w:asciiTheme="majorHAnsi" w:hAnsiTheme="majorHAnsi"/>
          <w:sz w:val="22"/>
        </w:rPr>
        <w:t xml:space="preserve"> la </w:t>
      </w:r>
      <w:r w:rsidR="00A56A30">
        <w:rPr>
          <w:rFonts w:asciiTheme="majorHAnsi" w:hAnsiTheme="majorHAnsi"/>
          <w:sz w:val="22"/>
        </w:rPr>
        <w:t xml:space="preserve">maintenant </w:t>
      </w:r>
      <w:r w:rsidR="00AF3B54">
        <w:rPr>
          <w:rFonts w:asciiTheme="majorHAnsi" w:hAnsiTheme="majorHAnsi"/>
          <w:sz w:val="22"/>
        </w:rPr>
        <w:t xml:space="preserve">largement </w:t>
      </w:r>
      <w:r w:rsidR="00A56A30">
        <w:rPr>
          <w:rFonts w:asciiTheme="majorHAnsi" w:hAnsiTheme="majorHAnsi"/>
          <w:sz w:val="22"/>
        </w:rPr>
        <w:t xml:space="preserve">sous </w:t>
      </w:r>
      <w:r w:rsidR="00E6515D">
        <w:rPr>
          <w:rFonts w:asciiTheme="majorHAnsi" w:hAnsiTheme="majorHAnsi"/>
          <w:sz w:val="22"/>
        </w:rPr>
        <w:t>contrôle et bridant toute vie économique</w:t>
      </w:r>
      <w:r w:rsidR="00C354AD">
        <w:rPr>
          <w:rFonts w:asciiTheme="majorHAnsi" w:hAnsiTheme="majorHAnsi"/>
          <w:sz w:val="22"/>
        </w:rPr>
        <w:t>, mais aussi la société israélienne.</w:t>
      </w:r>
    </w:p>
    <w:p w:rsidR="00C354AD" w:rsidRPr="008D0FB7" w:rsidRDefault="008D0FB7" w:rsidP="00955F40">
      <w:pPr>
        <w:jc w:val="both"/>
        <w:rPr>
          <w:rFonts w:asciiTheme="majorHAnsi" w:hAnsiTheme="majorHAnsi"/>
          <w:sz w:val="16"/>
        </w:rPr>
      </w:pPr>
      <w:r w:rsidRPr="008D0FB7">
        <w:rPr>
          <w:rFonts w:asciiTheme="majorHAnsi" w:hAnsiTheme="majorHAnsi"/>
          <w:sz w:val="16"/>
        </w:rPr>
        <w:t>.</w:t>
      </w:r>
    </w:p>
    <w:p w:rsidR="00FE2095" w:rsidRDefault="00C354AD" w:rsidP="00955F40">
      <w:pPr>
        <w:jc w:val="both"/>
        <w:rPr>
          <w:rFonts w:asciiTheme="majorHAnsi" w:hAnsiTheme="majorHAnsi"/>
          <w:sz w:val="22"/>
        </w:rPr>
      </w:pPr>
      <w:r>
        <w:rPr>
          <w:rFonts w:asciiTheme="majorHAnsi" w:hAnsiTheme="majorHAnsi"/>
          <w:sz w:val="22"/>
        </w:rPr>
        <w:t xml:space="preserve">Après les hésitations des premiers mois de l’occupation, la porte a été grande ouverte à une colonisation qui n’a fait que s’accélérer pour atteindre aujourd’hui 600 000 colons et enserrer désormais Gaza dans un blocus mortifère. </w:t>
      </w:r>
    </w:p>
    <w:p w:rsidR="00117829" w:rsidRPr="008D0FB7" w:rsidRDefault="008D0FB7" w:rsidP="00955F40">
      <w:pPr>
        <w:jc w:val="both"/>
        <w:rPr>
          <w:rFonts w:asciiTheme="majorHAnsi" w:hAnsiTheme="majorHAnsi"/>
          <w:sz w:val="16"/>
        </w:rPr>
      </w:pPr>
      <w:r w:rsidRPr="008D0FB7">
        <w:rPr>
          <w:rFonts w:asciiTheme="majorHAnsi" w:hAnsiTheme="majorHAnsi"/>
          <w:sz w:val="16"/>
        </w:rPr>
        <w:t>.</w:t>
      </w:r>
    </w:p>
    <w:p w:rsidR="00117829" w:rsidRDefault="00117829" w:rsidP="00955F40">
      <w:pPr>
        <w:jc w:val="both"/>
        <w:rPr>
          <w:rFonts w:asciiTheme="majorHAnsi" w:hAnsiTheme="majorHAnsi"/>
          <w:sz w:val="22"/>
        </w:rPr>
      </w:pPr>
      <w:r>
        <w:rPr>
          <w:rFonts w:asciiTheme="majorHAnsi" w:hAnsiTheme="majorHAnsi"/>
          <w:sz w:val="22"/>
        </w:rPr>
        <w:t>Face à une extrême droite durablement insta</w:t>
      </w:r>
      <w:r w:rsidR="00F9426D">
        <w:rPr>
          <w:rFonts w:asciiTheme="majorHAnsi" w:hAnsiTheme="majorHAnsi"/>
          <w:sz w:val="22"/>
        </w:rPr>
        <w:t>llée au pouvoir qui n’hésite</w:t>
      </w:r>
      <w:r>
        <w:rPr>
          <w:rFonts w:asciiTheme="majorHAnsi" w:hAnsiTheme="majorHAnsi"/>
          <w:sz w:val="22"/>
        </w:rPr>
        <w:t xml:space="preserve"> que sur la meilleure façon d’installer la domination et l’apartheid israélien sur toute la Palestine, le peuple palestinien résiste en affirmant avec force sa volonté de rester sur sa terre et d’y exercer tous ses droits.</w:t>
      </w:r>
    </w:p>
    <w:p w:rsidR="00117829" w:rsidRPr="008D0FB7" w:rsidRDefault="008D0FB7" w:rsidP="00955F40">
      <w:pPr>
        <w:jc w:val="both"/>
        <w:rPr>
          <w:rFonts w:asciiTheme="majorHAnsi" w:hAnsiTheme="majorHAnsi"/>
          <w:sz w:val="16"/>
        </w:rPr>
      </w:pPr>
      <w:r w:rsidRPr="008D0FB7">
        <w:rPr>
          <w:rFonts w:asciiTheme="majorHAnsi" w:hAnsiTheme="majorHAnsi"/>
          <w:sz w:val="16"/>
        </w:rPr>
        <w:t>.</w:t>
      </w:r>
    </w:p>
    <w:p w:rsidR="00955F40" w:rsidRDefault="00117829" w:rsidP="00955F40">
      <w:pPr>
        <w:jc w:val="both"/>
        <w:rPr>
          <w:rFonts w:asciiTheme="majorHAnsi" w:hAnsiTheme="majorHAnsi"/>
          <w:sz w:val="22"/>
        </w:rPr>
      </w:pPr>
      <w:r>
        <w:rPr>
          <w:rFonts w:asciiTheme="majorHAnsi" w:hAnsiTheme="majorHAnsi"/>
          <w:sz w:val="22"/>
        </w:rPr>
        <w:t>La lutte héroïque de</w:t>
      </w:r>
      <w:r w:rsidR="00244A50">
        <w:rPr>
          <w:rFonts w:asciiTheme="majorHAnsi" w:hAnsiTheme="majorHAnsi"/>
          <w:sz w:val="22"/>
        </w:rPr>
        <w:t>s prisonniers palestiniens</w:t>
      </w:r>
      <w:r>
        <w:rPr>
          <w:rFonts w:asciiTheme="majorHAnsi" w:hAnsiTheme="majorHAnsi"/>
          <w:sz w:val="22"/>
        </w:rPr>
        <w:t xml:space="preserve"> qui ont mené autour de Marwan Barghouthi une grève de la faim de 41 jours a contraint </w:t>
      </w:r>
      <w:r w:rsidR="00C4654C">
        <w:rPr>
          <w:rFonts w:asciiTheme="majorHAnsi" w:hAnsiTheme="majorHAnsi"/>
          <w:sz w:val="22"/>
        </w:rPr>
        <w:t>pour la 1</w:t>
      </w:r>
      <w:r w:rsidR="00C4654C" w:rsidRPr="00C4654C">
        <w:rPr>
          <w:rFonts w:asciiTheme="majorHAnsi" w:hAnsiTheme="majorHAnsi"/>
          <w:sz w:val="22"/>
          <w:vertAlign w:val="superscript"/>
        </w:rPr>
        <w:t>ère</w:t>
      </w:r>
      <w:r w:rsidR="00C4654C">
        <w:rPr>
          <w:rFonts w:asciiTheme="majorHAnsi" w:hAnsiTheme="majorHAnsi"/>
          <w:sz w:val="22"/>
        </w:rPr>
        <w:t xml:space="preserve"> fois </w:t>
      </w:r>
      <w:r>
        <w:rPr>
          <w:rFonts w:asciiTheme="majorHAnsi" w:hAnsiTheme="majorHAnsi"/>
          <w:sz w:val="22"/>
        </w:rPr>
        <w:t xml:space="preserve">les autorités israéliennes à </w:t>
      </w:r>
      <w:r w:rsidR="00C4654C">
        <w:rPr>
          <w:rFonts w:asciiTheme="majorHAnsi" w:hAnsiTheme="majorHAnsi"/>
          <w:sz w:val="22"/>
        </w:rPr>
        <w:t>négocier et accepter la plupart de leurs demandes de respect des garanties du droit humanitaire. Une victoire que l’occupant cherchera à coup sû</w:t>
      </w:r>
      <w:r w:rsidR="00997807">
        <w:rPr>
          <w:rFonts w:asciiTheme="majorHAnsi" w:hAnsiTheme="majorHAnsi"/>
          <w:sz w:val="22"/>
        </w:rPr>
        <w:t>r à remettre en cause. Mais</w:t>
      </w:r>
      <w:r w:rsidR="00C4654C">
        <w:rPr>
          <w:rFonts w:asciiTheme="majorHAnsi" w:hAnsiTheme="majorHAnsi"/>
          <w:sz w:val="22"/>
        </w:rPr>
        <w:t xml:space="preserve"> victoire </w:t>
      </w:r>
      <w:r w:rsidR="00997807">
        <w:rPr>
          <w:rFonts w:asciiTheme="majorHAnsi" w:hAnsiTheme="majorHAnsi"/>
          <w:sz w:val="22"/>
        </w:rPr>
        <w:t xml:space="preserve">de haute portée : celle </w:t>
      </w:r>
      <w:r w:rsidR="00C4654C">
        <w:rPr>
          <w:rFonts w:asciiTheme="majorHAnsi" w:hAnsiTheme="majorHAnsi"/>
          <w:sz w:val="22"/>
        </w:rPr>
        <w:t>d’un peuple rassemblé pour faire valoir ses droits.</w:t>
      </w:r>
    </w:p>
    <w:p w:rsidR="00955F40" w:rsidRPr="008D0FB7" w:rsidRDefault="008D0FB7" w:rsidP="00955F40">
      <w:pPr>
        <w:jc w:val="both"/>
        <w:rPr>
          <w:rFonts w:asciiTheme="majorHAnsi" w:hAnsiTheme="majorHAnsi"/>
          <w:sz w:val="16"/>
        </w:rPr>
      </w:pPr>
      <w:r w:rsidRPr="008D0FB7">
        <w:rPr>
          <w:rFonts w:asciiTheme="majorHAnsi" w:hAnsiTheme="majorHAnsi"/>
          <w:sz w:val="16"/>
        </w:rPr>
        <w:t>.</w:t>
      </w:r>
    </w:p>
    <w:p w:rsidR="00955F40" w:rsidRDefault="00955F40" w:rsidP="00955F40">
      <w:pPr>
        <w:jc w:val="both"/>
        <w:rPr>
          <w:rFonts w:asciiTheme="majorHAnsi" w:hAnsiTheme="majorHAnsi"/>
          <w:sz w:val="22"/>
        </w:rPr>
      </w:pPr>
      <w:r>
        <w:rPr>
          <w:rFonts w:asciiTheme="majorHAnsi" w:hAnsiTheme="majorHAnsi"/>
          <w:sz w:val="22"/>
        </w:rPr>
        <w:t xml:space="preserve">Elle </w:t>
      </w:r>
      <w:r w:rsidR="00FC38AD">
        <w:rPr>
          <w:rFonts w:asciiTheme="majorHAnsi" w:hAnsiTheme="majorHAnsi"/>
          <w:sz w:val="22"/>
        </w:rPr>
        <w:t>est le signe</w:t>
      </w:r>
      <w:r>
        <w:rPr>
          <w:rFonts w:asciiTheme="majorHAnsi" w:hAnsiTheme="majorHAnsi"/>
          <w:sz w:val="22"/>
        </w:rPr>
        <w:t xml:space="preserve"> de la formidable résilience de tout un peuple qui a à ses côtés toutes celles et ceux à travers le monde qui ne se résignent pas à l’arrogance de la force.</w:t>
      </w:r>
    </w:p>
    <w:p w:rsidR="004D6904" w:rsidRDefault="00955F40" w:rsidP="00955F40">
      <w:pPr>
        <w:jc w:val="center"/>
        <w:rPr>
          <w:rFonts w:ascii="Calibri" w:hAnsi="Calibri"/>
          <w:b/>
          <w:sz w:val="22"/>
        </w:rPr>
      </w:pPr>
      <w:r w:rsidRPr="00955F40">
        <w:rPr>
          <w:rFonts w:asciiTheme="majorHAnsi" w:hAnsiTheme="majorHAnsi"/>
          <w:b/>
          <w:sz w:val="22"/>
        </w:rPr>
        <w:t>LA PALESTINE VIVRA ET L</w:t>
      </w:r>
      <w:r w:rsidRPr="00955F40">
        <w:rPr>
          <w:rFonts w:ascii="Calibri" w:hAnsi="Calibri"/>
          <w:b/>
          <w:sz w:val="22"/>
        </w:rPr>
        <w:t>À SERA SA VICTOIRE !</w:t>
      </w:r>
    </w:p>
    <w:p w:rsidR="004D6904" w:rsidRPr="00757A2C" w:rsidRDefault="004D6904" w:rsidP="004D6904">
      <w:pPr>
        <w:jc w:val="both"/>
        <w:rPr>
          <w:rFonts w:asciiTheme="majorHAnsi" w:hAnsiTheme="majorHAnsi"/>
          <w:b/>
          <w:sz w:val="20"/>
        </w:rPr>
      </w:pPr>
      <w:r w:rsidRPr="00757A2C">
        <w:rPr>
          <w:rFonts w:asciiTheme="majorHAnsi" w:hAnsiTheme="majorHAnsi"/>
          <w:b/>
          <w:sz w:val="20"/>
        </w:rPr>
        <w:t xml:space="preserve">Contact : </w:t>
      </w:r>
      <w:hyperlink r:id="rId5" w:history="1">
        <w:r w:rsidRPr="004D6904">
          <w:rPr>
            <w:rStyle w:val="Lienhypertexte"/>
            <w:rFonts w:asciiTheme="majorHAnsi" w:hAnsiTheme="majorHAnsi"/>
            <w:b/>
            <w:color w:val="auto"/>
            <w:sz w:val="20"/>
            <w:u w:val="none"/>
          </w:rPr>
          <w:t>afpsanjou49@gmail.com</w:t>
        </w:r>
      </w:hyperlink>
      <w:r>
        <w:rPr>
          <w:rFonts w:asciiTheme="majorHAnsi" w:hAnsiTheme="majorHAnsi"/>
          <w:b/>
          <w:sz w:val="20"/>
        </w:rPr>
        <w:t xml:space="preserve"> </w:t>
      </w:r>
      <w:r w:rsidRPr="003E30F8">
        <w:rPr>
          <w:rFonts w:asciiTheme="majorHAnsi" w:hAnsiTheme="majorHAnsi"/>
          <w:b/>
          <w:noProof/>
          <w:sz w:val="20"/>
          <w:lang w:eastAsia="fr-FR"/>
        </w:rPr>
        <w:drawing>
          <wp:inline distT="0" distB="0" distL="0" distR="0">
            <wp:extent cx="286385" cy="286385"/>
            <wp:effectExtent l="25400" t="0" r="0" b="0"/>
            <wp:docPr id="7" name="Image 3" descr=":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jpeg"/>
                    <pic:cNvPicPr>
                      <a:picLocks noChangeAspect="1" noChangeArrowheads="1"/>
                    </pic:cNvPicPr>
                  </pic:nvPicPr>
                  <pic:blipFill>
                    <a:blip r:embed="rId6"/>
                    <a:srcRect/>
                    <a:stretch>
                      <a:fillRect/>
                    </a:stretch>
                  </pic:blipFill>
                  <pic:spPr bwMode="auto">
                    <a:xfrm>
                      <a:off x="0" y="0"/>
                      <a:ext cx="290060" cy="290060"/>
                    </a:xfrm>
                    <a:prstGeom prst="rect">
                      <a:avLst/>
                    </a:prstGeom>
                    <a:noFill/>
                    <a:ln w="9525">
                      <a:noFill/>
                      <a:miter lim="800000"/>
                      <a:headEnd/>
                      <a:tailEnd/>
                    </a:ln>
                  </pic:spPr>
                </pic:pic>
              </a:graphicData>
            </a:graphic>
          </wp:inline>
        </w:drawing>
      </w:r>
      <w:r w:rsidR="00AB02CE">
        <w:rPr>
          <w:rFonts w:asciiTheme="majorHAnsi" w:hAnsiTheme="majorHAnsi"/>
          <w:b/>
          <w:sz w:val="20"/>
        </w:rPr>
        <w:t xml:space="preserve"> </w:t>
      </w:r>
      <w:r>
        <w:rPr>
          <w:rFonts w:asciiTheme="majorHAnsi" w:hAnsiTheme="majorHAnsi"/>
          <w:b/>
          <w:sz w:val="20"/>
        </w:rPr>
        <w:t xml:space="preserve">@afps49 </w:t>
      </w:r>
      <w:r w:rsidRPr="00757A2C">
        <w:rPr>
          <w:rFonts w:asciiTheme="majorHAnsi" w:hAnsiTheme="majorHAnsi"/>
          <w:b/>
          <w:sz w:val="20"/>
        </w:rPr>
        <w:t xml:space="preserve"> </w:t>
      </w:r>
      <w:r w:rsidR="00AB02CE">
        <w:rPr>
          <w:rFonts w:asciiTheme="majorHAnsi" w:hAnsiTheme="majorHAnsi"/>
          <w:b/>
          <w:sz w:val="20"/>
        </w:rPr>
        <w:t xml:space="preserve"> </w:t>
      </w:r>
      <w:r w:rsidRPr="00757A2C">
        <w:rPr>
          <w:rFonts w:asciiTheme="majorHAnsi" w:hAnsiTheme="majorHAnsi"/>
          <w:b/>
          <w:sz w:val="20"/>
        </w:rPr>
        <w:t>Site : www.france-palestine.org</w:t>
      </w:r>
    </w:p>
    <w:p w:rsidR="00FE2095" w:rsidRPr="00955F40" w:rsidRDefault="00FE2095" w:rsidP="00955F40">
      <w:pPr>
        <w:jc w:val="center"/>
        <w:rPr>
          <w:rFonts w:asciiTheme="majorHAnsi" w:hAnsiTheme="majorHAnsi"/>
          <w:b/>
          <w:sz w:val="22"/>
        </w:rPr>
      </w:pPr>
    </w:p>
    <w:p w:rsidR="008D0FB7" w:rsidRDefault="008D0FB7">
      <w:pPr>
        <w:rPr>
          <w:rFonts w:asciiTheme="majorHAnsi" w:hAnsiTheme="majorHAnsi"/>
          <w:sz w:val="22"/>
        </w:rPr>
      </w:pPr>
    </w:p>
    <w:p w:rsidR="00215537" w:rsidRPr="00FE2095" w:rsidRDefault="00215537">
      <w:pPr>
        <w:rPr>
          <w:rFonts w:asciiTheme="majorHAnsi" w:hAnsiTheme="majorHAnsi"/>
          <w:sz w:val="22"/>
        </w:rPr>
      </w:pPr>
    </w:p>
    <w:sectPr w:rsidR="00215537" w:rsidRPr="00FE2095" w:rsidSect="00FE2095">
      <w:pgSz w:w="16838" w:h="11899" w:orient="landscape"/>
      <w:pgMar w:top="1077" w:right="1077" w:bottom="1077" w:left="1077"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2095"/>
    <w:rsid w:val="00052074"/>
    <w:rsid w:val="00091EB6"/>
    <w:rsid w:val="00117829"/>
    <w:rsid w:val="00144EFB"/>
    <w:rsid w:val="00215537"/>
    <w:rsid w:val="00244A50"/>
    <w:rsid w:val="004C6DB6"/>
    <w:rsid w:val="004D6904"/>
    <w:rsid w:val="004E62D2"/>
    <w:rsid w:val="008D0FB7"/>
    <w:rsid w:val="00955F40"/>
    <w:rsid w:val="00997807"/>
    <w:rsid w:val="00A56A30"/>
    <w:rsid w:val="00AB02CE"/>
    <w:rsid w:val="00AF3B54"/>
    <w:rsid w:val="00B209AA"/>
    <w:rsid w:val="00C354AD"/>
    <w:rsid w:val="00C4654C"/>
    <w:rsid w:val="00E6515D"/>
    <w:rsid w:val="00E724FD"/>
    <w:rsid w:val="00F9426D"/>
    <w:rsid w:val="00FC38AD"/>
    <w:rsid w:val="00FE209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D017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8D0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fpsanjou49@gmail.com" TargetMode="External"/><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309</Words>
  <Characters>1609</Characters>
  <Application>Microsoft Macintosh Word</Application>
  <DocSecurity>0</DocSecurity>
  <Lines>37</Lines>
  <Paragraphs>8</Paragraphs>
  <ScaleCrop>false</ScaleCrop>
  <Company>idem</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Jean-Paul</dc:creator>
  <cp:keywords/>
  <cp:lastModifiedBy>Roche Jean-Paul</cp:lastModifiedBy>
  <cp:revision>27</cp:revision>
  <dcterms:created xsi:type="dcterms:W3CDTF">2017-05-31T08:29:00Z</dcterms:created>
  <dcterms:modified xsi:type="dcterms:W3CDTF">2017-05-31T13:37:00Z</dcterms:modified>
</cp:coreProperties>
</file>